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26" w:hanging="826" w:hangingChars="343"/>
        <w:rPr>
          <w:rFonts w:ascii="Times New Roman" w:hAnsi="Times New Roman" w:cs="Times New Roman"/>
          <w:b/>
          <w:color w:val="000000" w:themeColor="text1"/>
          <w:sz w:val="24"/>
          <w:szCs w:val="24"/>
          <w:shd w:val="clear" w:color="auto" w:fill="FFFFFF"/>
          <w14:textFill>
            <w14:solidFill>
              <w14:schemeClr w14:val="tx1"/>
            </w14:solidFill>
          </w14:textFill>
        </w:rPr>
      </w:pPr>
      <w:r>
        <w:rPr>
          <w:rFonts w:hint="eastAsia" w:ascii="Times New Roman" w:hAnsi="Times New Roman" w:cs="Times New Roman"/>
          <w:b/>
          <w:color w:val="000000" w:themeColor="text1"/>
          <w:sz w:val="24"/>
          <w:szCs w:val="24"/>
          <w:shd w:val="clear" w:color="auto" w:fill="FFFFFF"/>
          <w14:textFill>
            <w14:solidFill>
              <w14:schemeClr w14:val="tx1"/>
            </w14:solidFill>
          </w14:textFill>
        </w:rPr>
        <w:t>附件：基础医学院教学改革项目立项名单（排名不分先后）</w:t>
      </w:r>
    </w:p>
    <w:tbl>
      <w:tblPr>
        <w:tblStyle w:val="2"/>
        <w:tblW w:w="9407" w:type="dxa"/>
        <w:tblInd w:w="-5" w:type="dxa"/>
        <w:tblLayout w:type="fixed"/>
        <w:tblCellMar>
          <w:top w:w="0" w:type="dxa"/>
          <w:left w:w="108" w:type="dxa"/>
          <w:bottom w:w="0" w:type="dxa"/>
          <w:right w:w="108" w:type="dxa"/>
        </w:tblCellMar>
      </w:tblPr>
      <w:tblGrid>
        <w:gridCol w:w="1858"/>
        <w:gridCol w:w="4950"/>
        <w:gridCol w:w="1067"/>
        <w:gridCol w:w="766"/>
        <w:gridCol w:w="766"/>
      </w:tblGrid>
      <w:tr>
        <w:tblPrEx>
          <w:tblCellMar>
            <w:top w:w="0" w:type="dxa"/>
            <w:left w:w="108" w:type="dxa"/>
            <w:bottom w:w="0" w:type="dxa"/>
            <w:right w:w="108" w:type="dxa"/>
          </w:tblCellMar>
        </w:tblPrEx>
        <w:trPr>
          <w:trHeight w:val="567"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编号</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tabs>
                <w:tab w:val="left" w:pos="8152"/>
              </w:tabs>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hint="eastAsia" w:ascii="宋体" w:hAnsi="宋体" w:eastAsia="宋体" w:cs="Times New Roman"/>
                <w:b/>
                <w:bCs/>
                <w:color w:val="000000"/>
                <w:kern w:val="0"/>
                <w:sz w:val="24"/>
                <w:szCs w:val="24"/>
              </w:rPr>
              <w:t>主持人</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bCs/>
                <w:color w:val="000000"/>
                <w:kern w:val="0"/>
                <w:sz w:val="24"/>
                <w:szCs w:val="24"/>
                <w:lang w:val="en-US" w:eastAsia="zh-CN"/>
              </w:rPr>
            </w:pPr>
            <w:r>
              <w:rPr>
                <w:rFonts w:hint="eastAsia" w:ascii="宋体" w:hAnsi="宋体" w:eastAsia="宋体" w:cs="Times New Roman"/>
                <w:b/>
                <w:bCs/>
                <w:color w:val="000000"/>
                <w:kern w:val="0"/>
                <w:sz w:val="24"/>
                <w:szCs w:val="24"/>
                <w:lang w:val="en-US" w:eastAsia="zh-CN"/>
              </w:rPr>
              <w:t>立项类型</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b/>
                <w:bCs/>
                <w:color w:val="000000"/>
                <w:kern w:val="0"/>
                <w:sz w:val="24"/>
                <w:szCs w:val="24"/>
                <w:lang w:val="en-US" w:eastAsia="zh-CN"/>
              </w:rPr>
            </w:pPr>
            <w:r>
              <w:rPr>
                <w:rFonts w:hint="eastAsia" w:ascii="宋体" w:hAnsi="宋体" w:eastAsia="宋体" w:cs="Times New Roman"/>
                <w:b/>
                <w:bCs/>
                <w:color w:val="000000"/>
                <w:kern w:val="0"/>
                <w:sz w:val="24"/>
                <w:szCs w:val="24"/>
                <w:lang w:val="en-US" w:eastAsia="zh-CN"/>
              </w:rPr>
              <w:t>立项时间</w:t>
            </w:r>
          </w:p>
        </w:tc>
      </w:tr>
      <w:tr>
        <w:tblPrEx>
          <w:tblCellMar>
            <w:top w:w="0" w:type="dxa"/>
            <w:left w:w="108" w:type="dxa"/>
            <w:bottom w:w="0" w:type="dxa"/>
            <w:right w:w="108" w:type="dxa"/>
          </w:tblCellMar>
        </w:tblPrEx>
        <w:trPr>
          <w:trHeight w:val="567"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YXYJG202101</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tabs>
                <w:tab w:val="left" w:pos="8152"/>
              </w:tabs>
              <w:jc w:val="center"/>
              <w:rPr>
                <w:rFonts w:hint="eastAsia" w:ascii="宋体" w:hAnsi="宋体" w:eastAsia="宋体" w:cs="宋体"/>
                <w:b/>
                <w:bCs/>
                <w:color w:val="000000"/>
                <w:kern w:val="0"/>
                <w:sz w:val="24"/>
                <w:szCs w:val="24"/>
              </w:rPr>
            </w:pPr>
            <w:r>
              <w:rPr>
                <w:rFonts w:ascii="宋体" w:hAnsi="宋体" w:eastAsia="宋体" w:cs="宋体"/>
                <w:sz w:val="24"/>
                <w:szCs w:val="24"/>
              </w:rPr>
              <w:t>多元化混合式教学在解剖学中的应用</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 w:val="24"/>
                <w:szCs w:val="24"/>
              </w:rPr>
            </w:pPr>
            <w:r>
              <w:rPr>
                <w:rFonts w:ascii="宋体" w:hAnsi="宋体" w:eastAsia="宋体" w:cs="宋体"/>
                <w:sz w:val="24"/>
                <w:szCs w:val="24"/>
              </w:rPr>
              <w:t>徐小冬</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 w:val="24"/>
                <w:szCs w:val="24"/>
                <w:lang w:val="en-US" w:eastAsia="zh-CN"/>
              </w:rPr>
            </w:pPr>
            <w:r>
              <w:rPr>
                <w:rFonts w:ascii="宋体" w:hAnsi="宋体" w:eastAsia="宋体" w:cs="宋体"/>
                <w:sz w:val="24"/>
                <w:szCs w:val="24"/>
              </w:rPr>
              <w:t>校级</w:t>
            </w:r>
          </w:p>
        </w:tc>
        <w:tc>
          <w:tcPr>
            <w:tcW w:w="766"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 w:val="24"/>
                <w:szCs w:val="24"/>
                <w:lang w:val="en-US" w:eastAsia="zh-CN"/>
              </w:rPr>
            </w:pPr>
            <w:r>
              <w:rPr>
                <w:rFonts w:ascii="宋体" w:hAnsi="宋体" w:eastAsia="宋体" w:cs="宋体"/>
                <w:sz w:val="24"/>
                <w:szCs w:val="24"/>
              </w:rPr>
              <w:t>2021年</w:t>
            </w:r>
          </w:p>
        </w:tc>
      </w:tr>
      <w:tr>
        <w:tblPrEx>
          <w:tblCellMar>
            <w:top w:w="0" w:type="dxa"/>
            <w:left w:w="108" w:type="dxa"/>
            <w:bottom w:w="0" w:type="dxa"/>
            <w:right w:w="108" w:type="dxa"/>
          </w:tblCellMar>
        </w:tblPrEx>
        <w:trPr>
          <w:trHeight w:val="567"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YXYJG202104</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tabs>
                <w:tab w:val="left" w:pos="8152"/>
              </w:tabs>
              <w:jc w:val="center"/>
              <w:rPr>
                <w:rFonts w:hint="eastAsia" w:ascii="宋体" w:hAnsi="宋体" w:eastAsia="宋体" w:cs="宋体"/>
                <w:b/>
                <w:bCs/>
                <w:color w:val="000000"/>
                <w:kern w:val="0"/>
                <w:sz w:val="24"/>
                <w:szCs w:val="24"/>
              </w:rPr>
            </w:pPr>
            <w:r>
              <w:rPr>
                <w:rFonts w:ascii="宋体" w:hAnsi="宋体" w:eastAsia="宋体" w:cs="宋体"/>
                <w:sz w:val="24"/>
                <w:szCs w:val="24"/>
              </w:rPr>
              <w:t xml:space="preserve"> 四象限法结合OBE理念再医学免疫学教学中的应用</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 w:val="24"/>
                <w:szCs w:val="24"/>
              </w:rPr>
            </w:pPr>
            <w:r>
              <w:rPr>
                <w:rFonts w:ascii="宋体" w:hAnsi="宋体" w:eastAsia="宋体" w:cs="宋体"/>
                <w:sz w:val="24"/>
                <w:szCs w:val="24"/>
              </w:rPr>
              <w:t>吴静</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 w:val="24"/>
                <w:szCs w:val="24"/>
                <w:lang w:val="en-US" w:eastAsia="zh-CN"/>
              </w:rPr>
            </w:pPr>
            <w:r>
              <w:rPr>
                <w:rFonts w:hint="eastAsia" w:ascii="宋体" w:hAnsi="宋体" w:eastAsia="宋体" w:cs="宋体"/>
                <w:color w:val="auto"/>
                <w:kern w:val="0"/>
                <w:sz w:val="24"/>
                <w:szCs w:val="24"/>
              </w:rPr>
              <w:t>一般</w:t>
            </w:r>
          </w:p>
        </w:tc>
        <w:tc>
          <w:tcPr>
            <w:tcW w:w="766" w:type="dxa"/>
            <w:vMerge w:val="continue"/>
            <w:tcBorders>
              <w:left w:val="nil"/>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 w:val="24"/>
                <w:szCs w:val="24"/>
                <w:lang w:val="en-US" w:eastAsia="zh-CN"/>
              </w:rPr>
            </w:pPr>
          </w:p>
        </w:tc>
      </w:tr>
      <w:tr>
        <w:tblPrEx>
          <w:tblCellMar>
            <w:top w:w="0" w:type="dxa"/>
            <w:left w:w="108" w:type="dxa"/>
            <w:bottom w:w="0" w:type="dxa"/>
            <w:right w:w="108" w:type="dxa"/>
          </w:tblCellMar>
        </w:tblPrEx>
        <w:trPr>
          <w:trHeight w:val="567"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YXYJG202105</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tabs>
                <w:tab w:val="left" w:pos="8152"/>
              </w:tabs>
              <w:jc w:val="center"/>
              <w:rPr>
                <w:rFonts w:hint="eastAsia" w:ascii="宋体" w:hAnsi="宋体" w:eastAsia="宋体" w:cs="宋体"/>
                <w:b/>
                <w:bCs/>
                <w:color w:val="000000"/>
                <w:kern w:val="0"/>
                <w:sz w:val="24"/>
                <w:szCs w:val="24"/>
              </w:rPr>
            </w:pPr>
            <w:r>
              <w:rPr>
                <w:rFonts w:ascii="宋体" w:hAnsi="宋体" w:eastAsia="宋体" w:cs="宋体"/>
                <w:sz w:val="24"/>
                <w:szCs w:val="24"/>
              </w:rPr>
              <w:t xml:space="preserve"> 思政元素融入组织学与胚胎学教学中的实践研究</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 w:val="24"/>
                <w:szCs w:val="24"/>
              </w:rPr>
            </w:pPr>
            <w:r>
              <w:rPr>
                <w:rFonts w:ascii="宋体" w:hAnsi="宋体" w:eastAsia="宋体" w:cs="宋体"/>
                <w:sz w:val="24"/>
                <w:szCs w:val="24"/>
              </w:rPr>
              <w:t>赵东久</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 w:val="24"/>
                <w:szCs w:val="24"/>
                <w:lang w:val="en-US" w:eastAsia="zh-CN"/>
              </w:rPr>
            </w:pPr>
            <w:r>
              <w:rPr>
                <w:rFonts w:hint="eastAsia" w:ascii="宋体" w:hAnsi="宋体" w:eastAsia="宋体" w:cs="宋体"/>
                <w:color w:val="auto"/>
                <w:kern w:val="0"/>
                <w:sz w:val="24"/>
                <w:szCs w:val="24"/>
              </w:rPr>
              <w:t>一般</w:t>
            </w:r>
          </w:p>
        </w:tc>
        <w:tc>
          <w:tcPr>
            <w:tcW w:w="766"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b/>
                <w:bCs/>
                <w:color w:val="000000"/>
                <w:kern w:val="0"/>
                <w:sz w:val="24"/>
                <w:szCs w:val="24"/>
                <w:lang w:val="en-US" w:eastAsia="zh-CN"/>
              </w:rPr>
            </w:pP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JCYXYJG202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01</w:t>
            </w:r>
          </w:p>
        </w:tc>
        <w:tc>
          <w:tcPr>
            <w:tcW w:w="4950" w:type="dxa"/>
            <w:tcBorders>
              <w:top w:val="single" w:color="000000" w:sz="4" w:space="0"/>
              <w:left w:val="nil"/>
              <w:bottom w:val="single" w:color="000000" w:sz="4" w:space="0"/>
              <w:right w:val="single" w:color="000000" w:sz="4" w:space="0"/>
            </w:tcBorders>
            <w:shd w:val="clear" w:color="auto" w:fill="FFFFFF"/>
            <w:vAlign w:val="center"/>
          </w:tcPr>
          <w:p>
            <w:pPr>
              <w:widowControl/>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课内外交互式机能学教学——本科生科研思维提升训练计划</w:t>
            </w:r>
          </w:p>
        </w:tc>
        <w:tc>
          <w:tcPr>
            <w:tcW w:w="10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王欢欢</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ascii="宋体" w:hAnsi="宋体" w:eastAsia="宋体" w:cs="宋体"/>
                <w:sz w:val="24"/>
                <w:szCs w:val="24"/>
              </w:rPr>
              <w:t>校级</w:t>
            </w:r>
          </w:p>
        </w:tc>
        <w:tc>
          <w:tcPr>
            <w:tcW w:w="766" w:type="dxa"/>
            <w:vMerge w:val="restart"/>
            <w:tcBorders>
              <w:top w:val="single" w:color="000000" w:sz="4" w:space="0"/>
              <w:left w:val="nil"/>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ascii="宋体" w:hAnsi="宋体" w:eastAsia="宋体" w:cs="宋体"/>
                <w:sz w:val="24"/>
                <w:szCs w:val="24"/>
              </w:rPr>
              <w:t>202</w:t>
            </w:r>
            <w:r>
              <w:rPr>
                <w:rFonts w:hint="eastAsia" w:ascii="宋体" w:hAnsi="宋体" w:eastAsia="宋体" w:cs="宋体"/>
                <w:sz w:val="24"/>
                <w:szCs w:val="24"/>
                <w:lang w:val="en-US" w:eastAsia="zh-CN"/>
              </w:rPr>
              <w:t>2</w:t>
            </w:r>
            <w:r>
              <w:rPr>
                <w:rFonts w:ascii="宋体" w:hAnsi="宋体" w:eastAsia="宋体" w:cs="宋体"/>
                <w:sz w:val="24"/>
                <w:szCs w:val="24"/>
              </w:rPr>
              <w:t>年</w:t>
            </w:r>
          </w:p>
        </w:tc>
      </w:tr>
      <w:tr>
        <w:tblPrEx>
          <w:tblCellMar>
            <w:top w:w="0" w:type="dxa"/>
            <w:left w:w="108" w:type="dxa"/>
            <w:bottom w:w="0" w:type="dxa"/>
            <w:right w:w="108" w:type="dxa"/>
          </w:tblCellMar>
        </w:tblPrEx>
        <w:trPr>
          <w:trHeight w:val="567"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JCYXYJG202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02</w:t>
            </w:r>
          </w:p>
        </w:tc>
        <w:tc>
          <w:tcPr>
            <w:tcW w:w="495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案例教学法与线上教学结合在《生物化学与  分子生物学》课程教学中的研究</w:t>
            </w:r>
          </w:p>
        </w:tc>
        <w:tc>
          <w:tcPr>
            <w:tcW w:w="10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罗艳</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ascii="宋体" w:hAnsi="宋体" w:eastAsia="宋体" w:cs="宋体"/>
                <w:sz w:val="24"/>
                <w:szCs w:val="24"/>
              </w:rPr>
              <w:t>校级</w:t>
            </w:r>
          </w:p>
        </w:tc>
        <w:tc>
          <w:tcPr>
            <w:tcW w:w="766" w:type="dxa"/>
            <w:vMerge w:val="continue"/>
            <w:tcBorders>
              <w:left w:val="nil"/>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p>
        </w:tc>
      </w:tr>
      <w:tr>
        <w:tblPrEx>
          <w:tblCellMar>
            <w:top w:w="0" w:type="dxa"/>
            <w:left w:w="108" w:type="dxa"/>
            <w:bottom w:w="0" w:type="dxa"/>
            <w:right w:w="108" w:type="dxa"/>
          </w:tblCellMar>
        </w:tblPrEx>
        <w:trPr>
          <w:trHeight w:val="68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JCYXYJG202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03</w:t>
            </w:r>
          </w:p>
        </w:tc>
        <w:tc>
          <w:tcPr>
            <w:tcW w:w="495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案例教学法联合多学科协作教学模式在病理生理学教学中的应用研究</w:t>
            </w:r>
          </w:p>
        </w:tc>
        <w:tc>
          <w:tcPr>
            <w:tcW w:w="10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苏君梅</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ascii="宋体" w:hAnsi="宋体" w:eastAsia="宋体" w:cs="宋体"/>
                <w:sz w:val="24"/>
                <w:szCs w:val="24"/>
              </w:rPr>
              <w:t>校级</w:t>
            </w:r>
          </w:p>
        </w:tc>
        <w:tc>
          <w:tcPr>
            <w:tcW w:w="766" w:type="dxa"/>
            <w:vMerge w:val="continue"/>
            <w:tcBorders>
              <w:left w:val="nil"/>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p>
        </w:tc>
      </w:tr>
      <w:tr>
        <w:tblPrEx>
          <w:tblCellMar>
            <w:top w:w="0" w:type="dxa"/>
            <w:left w:w="108" w:type="dxa"/>
            <w:bottom w:w="0" w:type="dxa"/>
            <w:right w:w="108" w:type="dxa"/>
          </w:tblCellMar>
        </w:tblPrEx>
        <w:trPr>
          <w:trHeight w:val="68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JCYXYJG202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04</w:t>
            </w:r>
          </w:p>
        </w:tc>
        <w:tc>
          <w:tcPr>
            <w:tcW w:w="495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基础医学专业《病理学》课程的建设与创新</w:t>
            </w:r>
          </w:p>
        </w:tc>
        <w:tc>
          <w:tcPr>
            <w:tcW w:w="10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汪宇慧</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hint="eastAsia" w:ascii="宋体" w:hAnsi="宋体" w:eastAsia="宋体" w:cs="宋体"/>
                <w:color w:val="auto"/>
                <w:kern w:val="0"/>
                <w:sz w:val="24"/>
                <w:szCs w:val="24"/>
              </w:rPr>
              <w:t>一般</w:t>
            </w:r>
          </w:p>
        </w:tc>
        <w:tc>
          <w:tcPr>
            <w:tcW w:w="766" w:type="dxa"/>
            <w:vMerge w:val="continue"/>
            <w:tcBorders>
              <w:left w:val="nil"/>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p>
        </w:tc>
      </w:tr>
      <w:tr>
        <w:tblPrEx>
          <w:tblCellMar>
            <w:top w:w="0" w:type="dxa"/>
            <w:left w:w="108" w:type="dxa"/>
            <w:bottom w:w="0" w:type="dxa"/>
            <w:right w:w="108" w:type="dxa"/>
          </w:tblCellMar>
        </w:tblPrEx>
        <w:trPr>
          <w:trHeight w:val="68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JCYXYJG202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05</w:t>
            </w:r>
          </w:p>
        </w:tc>
        <w:tc>
          <w:tcPr>
            <w:tcW w:w="495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留学生《生理学》实验部分授课模式的探讨</w:t>
            </w:r>
          </w:p>
        </w:tc>
        <w:tc>
          <w:tcPr>
            <w:tcW w:w="10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郦莉</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hint="eastAsia" w:ascii="宋体" w:hAnsi="宋体" w:eastAsia="宋体" w:cs="宋体"/>
                <w:color w:val="auto"/>
                <w:kern w:val="0"/>
                <w:sz w:val="24"/>
                <w:szCs w:val="24"/>
              </w:rPr>
              <w:t>一般</w:t>
            </w:r>
          </w:p>
        </w:tc>
        <w:tc>
          <w:tcPr>
            <w:tcW w:w="766" w:type="dxa"/>
            <w:vMerge w:val="continue"/>
            <w:tcBorders>
              <w:left w:val="nil"/>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p>
        </w:tc>
      </w:tr>
      <w:tr>
        <w:tblPrEx>
          <w:tblCellMar>
            <w:top w:w="0" w:type="dxa"/>
            <w:left w:w="108" w:type="dxa"/>
            <w:bottom w:w="0" w:type="dxa"/>
            <w:right w:w="108" w:type="dxa"/>
          </w:tblCellMar>
        </w:tblPrEx>
        <w:trPr>
          <w:trHeight w:val="68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JCYXYJG202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06</w:t>
            </w:r>
          </w:p>
        </w:tc>
        <w:tc>
          <w:tcPr>
            <w:tcW w:w="495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基于领导力计划的卓越医学生培养</w:t>
            </w:r>
          </w:p>
        </w:tc>
        <w:tc>
          <w:tcPr>
            <w:tcW w:w="10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张凯</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hint="eastAsia" w:ascii="宋体" w:hAnsi="宋体" w:eastAsia="宋体" w:cs="宋体"/>
                <w:color w:val="auto"/>
                <w:kern w:val="0"/>
                <w:sz w:val="24"/>
                <w:szCs w:val="24"/>
              </w:rPr>
              <w:t>一般</w:t>
            </w:r>
          </w:p>
        </w:tc>
        <w:tc>
          <w:tcPr>
            <w:tcW w:w="766" w:type="dxa"/>
            <w:vMerge w:val="continue"/>
            <w:tcBorders>
              <w:left w:val="nil"/>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p>
        </w:tc>
      </w:tr>
      <w:tr>
        <w:tblPrEx>
          <w:tblCellMar>
            <w:top w:w="0" w:type="dxa"/>
            <w:left w:w="108" w:type="dxa"/>
            <w:bottom w:w="0" w:type="dxa"/>
            <w:right w:w="108" w:type="dxa"/>
          </w:tblCellMar>
        </w:tblPrEx>
        <w:trPr>
          <w:trHeight w:val="68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JCYXYJG202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07</w:t>
            </w:r>
          </w:p>
        </w:tc>
        <w:tc>
          <w:tcPr>
            <w:tcW w:w="495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游戏化翻转课堂教学模式在大学生职业生涯规划课程中应用研究</w:t>
            </w:r>
          </w:p>
        </w:tc>
        <w:tc>
          <w:tcPr>
            <w:tcW w:w="10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严雅芬</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hint="eastAsia" w:ascii="宋体" w:hAnsi="宋体" w:eastAsia="宋体" w:cs="宋体"/>
                <w:color w:val="auto"/>
                <w:kern w:val="0"/>
                <w:sz w:val="24"/>
                <w:szCs w:val="24"/>
              </w:rPr>
              <w:t>一般</w:t>
            </w:r>
          </w:p>
        </w:tc>
        <w:tc>
          <w:tcPr>
            <w:tcW w:w="766" w:type="dxa"/>
            <w:vMerge w:val="continue"/>
            <w:tcBorders>
              <w:left w:val="nil"/>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p>
        </w:tc>
      </w:tr>
      <w:tr>
        <w:tblPrEx>
          <w:tblCellMar>
            <w:top w:w="0" w:type="dxa"/>
            <w:left w:w="108" w:type="dxa"/>
            <w:bottom w:w="0" w:type="dxa"/>
            <w:right w:w="108" w:type="dxa"/>
          </w:tblCellMar>
        </w:tblPrEx>
        <w:trPr>
          <w:trHeight w:val="68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JCYXYJG202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08</w:t>
            </w:r>
          </w:p>
        </w:tc>
        <w:tc>
          <w:tcPr>
            <w:tcW w:w="495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多元化云课堂模式于疫情防控形势下在组织学与胚胎学教学中的应用探究</w:t>
            </w:r>
          </w:p>
        </w:tc>
        <w:tc>
          <w:tcPr>
            <w:tcW w:w="10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曹丽颖</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hint="eastAsia" w:ascii="宋体" w:hAnsi="宋体" w:eastAsia="宋体" w:cs="宋体"/>
                <w:color w:val="auto"/>
                <w:kern w:val="0"/>
                <w:sz w:val="24"/>
                <w:szCs w:val="24"/>
              </w:rPr>
              <w:t>一般</w:t>
            </w:r>
          </w:p>
        </w:tc>
        <w:tc>
          <w:tcPr>
            <w:tcW w:w="766" w:type="dxa"/>
            <w:vMerge w:val="continue"/>
            <w:tcBorders>
              <w:left w:val="nil"/>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p>
        </w:tc>
      </w:tr>
      <w:tr>
        <w:tblPrEx>
          <w:tblCellMar>
            <w:top w:w="0" w:type="dxa"/>
            <w:left w:w="108" w:type="dxa"/>
            <w:bottom w:w="0" w:type="dxa"/>
            <w:right w:w="108" w:type="dxa"/>
          </w:tblCellMar>
        </w:tblPrEx>
        <w:trPr>
          <w:trHeight w:val="68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JCYXYJG202</w:t>
            </w: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09</w:t>
            </w:r>
          </w:p>
        </w:tc>
        <w:tc>
          <w:tcPr>
            <w:tcW w:w="495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对流免疫电泳实验条件的改进及优化</w:t>
            </w:r>
          </w:p>
        </w:tc>
        <w:tc>
          <w:tcPr>
            <w:tcW w:w="10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宋体"/>
                <w:color w:val="4C4C4C"/>
                <w:sz w:val="24"/>
                <w:shd w:val="clear" w:color="auto" w:fill="FFFFFF"/>
              </w:rPr>
            </w:pPr>
            <w:r>
              <w:rPr>
                <w:rFonts w:hint="eastAsia" w:ascii="宋体" w:hAnsi="宋体" w:eastAsia="宋体" w:cs="宋体"/>
                <w:color w:val="4C4C4C"/>
                <w:sz w:val="24"/>
                <w:shd w:val="clear" w:color="auto" w:fill="FFFFFF"/>
              </w:rPr>
              <w:t>康艳华</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r>
              <w:rPr>
                <w:rFonts w:hint="eastAsia" w:ascii="宋体" w:hAnsi="宋体" w:eastAsia="宋体" w:cs="宋体"/>
                <w:color w:val="auto"/>
                <w:kern w:val="0"/>
                <w:sz w:val="24"/>
                <w:szCs w:val="24"/>
              </w:rPr>
              <w:t>一般</w:t>
            </w:r>
          </w:p>
        </w:tc>
        <w:tc>
          <w:tcPr>
            <w:tcW w:w="766" w:type="dxa"/>
            <w:vMerge w:val="continue"/>
            <w:tcBorders>
              <w:left w:val="nil"/>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4C4C4C"/>
                <w:sz w:val="24"/>
                <w:shd w:val="clear" w:color="auto" w:fill="FFFFFF"/>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Nzg0N2Q1OTZjMTQxYWFmMGU4YWM0ZmE0ZjVmYTEifQ=="/>
    <w:docVar w:name="KSO_WPS_MARK_KEY" w:val="9df26bd3-0c02-46d5-b8bc-c158aba81333"/>
  </w:docVars>
  <w:rsids>
    <w:rsidRoot w:val="00000000"/>
    <w:rsid w:val="46B8009A"/>
    <w:rsid w:val="6984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514</Characters>
  <Lines>0</Lines>
  <Paragraphs>0</Paragraphs>
  <TotalTime>1</TotalTime>
  <ScaleCrop>false</ScaleCrop>
  <LinksUpToDate>false</LinksUpToDate>
  <CharactersWithSpaces>518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2023-03-29T06:43:00Z</dcterms:created>
  <dc:creator>123</dc:creator>
  <cp:lastModifiedBy>123</cp:lastModifiedBy>
  <dcterms:modified xsi:type="dcterms:W3CDTF">2023-03-29T08:04:01Z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4325DC1C7D714E3BB3D165BC2110815C</vt:lpwstr>
  </property>
</Properties>
</file>